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AC740E" w:rsidRDefault="00AC740E" w:rsidP="00AC740E">
      <w:pPr>
        <w:spacing w:line="480" w:lineRule="auto"/>
        <w:jc w:val="center"/>
        <w:rPr>
          <w:rFonts w:ascii="Times New Roman" w:hAnsi="Times New Roman" w:cs="Times New Roman"/>
          <w:sz w:val="24"/>
          <w:szCs w:val="24"/>
        </w:rPr>
      </w:pPr>
    </w:p>
    <w:p w:rsidR="0080412D" w:rsidRDefault="00FB4309" w:rsidP="00AC740E">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Justice</w:t>
      </w:r>
    </w:p>
    <w:p w:rsidR="00AC740E" w:rsidRDefault="00FB4309" w:rsidP="00AC740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C740E" w:rsidRDefault="00FB4309" w:rsidP="00AC74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C740E" w:rsidRPr="00AC740E" w:rsidRDefault="00AC740E" w:rsidP="00AC740E">
      <w:pPr>
        <w:rPr>
          <w:rFonts w:ascii="Times New Roman" w:hAnsi="Times New Roman" w:cs="Times New Roman"/>
          <w:sz w:val="24"/>
          <w:szCs w:val="24"/>
        </w:rPr>
      </w:pPr>
    </w:p>
    <w:p w:rsidR="00AC740E" w:rsidRPr="00AC740E" w:rsidRDefault="00AC740E" w:rsidP="00AC740E">
      <w:pPr>
        <w:rPr>
          <w:rFonts w:ascii="Times New Roman" w:hAnsi="Times New Roman" w:cs="Times New Roman"/>
          <w:sz w:val="24"/>
          <w:szCs w:val="24"/>
        </w:rPr>
      </w:pPr>
    </w:p>
    <w:p w:rsidR="00AC740E" w:rsidRPr="00AC740E" w:rsidRDefault="00AC740E" w:rsidP="00AC740E">
      <w:pPr>
        <w:rPr>
          <w:rFonts w:ascii="Times New Roman" w:hAnsi="Times New Roman" w:cs="Times New Roman"/>
          <w:sz w:val="24"/>
          <w:szCs w:val="24"/>
        </w:rPr>
      </w:pPr>
    </w:p>
    <w:p w:rsidR="00AC740E" w:rsidRDefault="00AC740E" w:rsidP="00AC740E">
      <w:pPr>
        <w:rPr>
          <w:rFonts w:ascii="Times New Roman" w:hAnsi="Times New Roman" w:cs="Times New Roman"/>
          <w:sz w:val="24"/>
          <w:szCs w:val="24"/>
        </w:rPr>
      </w:pPr>
    </w:p>
    <w:p w:rsidR="00AC740E" w:rsidRDefault="00AC740E" w:rsidP="00AC740E">
      <w:pPr>
        <w:rPr>
          <w:rFonts w:ascii="Times New Roman" w:hAnsi="Times New Roman" w:cs="Times New Roman"/>
          <w:sz w:val="24"/>
          <w:szCs w:val="24"/>
        </w:rPr>
      </w:pPr>
    </w:p>
    <w:p w:rsidR="00AC740E" w:rsidRDefault="00AC740E" w:rsidP="00AC740E">
      <w:pPr>
        <w:rPr>
          <w:rFonts w:ascii="Times New Roman" w:hAnsi="Times New Roman" w:cs="Times New Roman"/>
          <w:sz w:val="24"/>
          <w:szCs w:val="24"/>
        </w:rPr>
      </w:pPr>
    </w:p>
    <w:p w:rsidR="00AC740E" w:rsidRDefault="00FB4309" w:rsidP="00AC74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Juvenile Justice</w:t>
      </w:r>
    </w:p>
    <w:p w:rsidR="00AC740E" w:rsidRDefault="00FB4309" w:rsidP="00AC74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16234">
        <w:rPr>
          <w:rFonts w:ascii="Times New Roman" w:hAnsi="Times New Roman" w:cs="Times New Roman"/>
          <w:sz w:val="24"/>
          <w:szCs w:val="24"/>
        </w:rPr>
        <w:tab/>
      </w:r>
      <w:r>
        <w:rPr>
          <w:rFonts w:ascii="Times New Roman" w:hAnsi="Times New Roman" w:cs="Times New Roman"/>
          <w:sz w:val="24"/>
          <w:szCs w:val="24"/>
        </w:rPr>
        <w:t xml:space="preserve">Juvenile law under international law requires that persons should meet the minimum age of criminal obligation before they are penalized their crimes. In this regard, the minimum age should not be fixed at a low level taking account that at a certain age, </w:t>
      </w:r>
      <w:r>
        <w:rPr>
          <w:rFonts w:ascii="Times New Roman" w:hAnsi="Times New Roman" w:cs="Times New Roman"/>
          <w:sz w:val="24"/>
          <w:szCs w:val="24"/>
        </w:rPr>
        <w:t xml:space="preserve">children are likely to have not met intellectual, mental, and emotional maturity. Besides, international laws empathize that human rights should be upheld with regard to the treatment of juveniles. </w:t>
      </w:r>
      <w:r w:rsidR="00ED1FED">
        <w:rPr>
          <w:rFonts w:ascii="Times New Roman" w:hAnsi="Times New Roman" w:cs="Times New Roman"/>
          <w:sz w:val="24"/>
          <w:szCs w:val="24"/>
        </w:rPr>
        <w:t xml:space="preserve"> These laws are enacted by bodies and international organizations such as the United Nations (UN). </w:t>
      </w:r>
      <w:r>
        <w:rPr>
          <w:rFonts w:ascii="Times New Roman" w:hAnsi="Times New Roman" w:cs="Times New Roman"/>
          <w:sz w:val="24"/>
          <w:szCs w:val="24"/>
        </w:rPr>
        <w:t>Therefore, it requires that juveniles should be offered greater protection than their adult counterparts</w:t>
      </w:r>
      <w:r w:rsidR="005B490E">
        <w:rPr>
          <w:rFonts w:ascii="Times New Roman" w:hAnsi="Times New Roman" w:cs="Times New Roman"/>
          <w:sz w:val="24"/>
          <w:szCs w:val="24"/>
        </w:rPr>
        <w:t xml:space="preserve"> (Sterio, 2016)</w:t>
      </w:r>
      <w:r>
        <w:rPr>
          <w:rFonts w:ascii="Times New Roman" w:hAnsi="Times New Roman" w:cs="Times New Roman"/>
          <w:sz w:val="24"/>
          <w:szCs w:val="24"/>
        </w:rPr>
        <w:t xml:space="preserve">. Again, it highlights the implications </w:t>
      </w:r>
      <w:r w:rsidR="00ED1FED">
        <w:rPr>
          <w:rFonts w:ascii="Times New Roman" w:hAnsi="Times New Roman" w:cs="Times New Roman"/>
          <w:sz w:val="24"/>
          <w:szCs w:val="24"/>
        </w:rPr>
        <w:t xml:space="preserve">related to the handling of juvenile piracy suspects. For example, forensic and medical tests should be carried on these suspects to ensure that they are of a young age. From a states' law perspective, most states stipulate that juveniles delinquents are persons that have are 18 years and below. Unlike international laws that are globally-binding, state laws governing juvenile delinquency vary from one state to another. Besides, these laws are enacted by governments of the respective nations. </w:t>
      </w:r>
      <w:r w:rsidR="00B9744F">
        <w:rPr>
          <w:rFonts w:ascii="Times New Roman" w:hAnsi="Times New Roman" w:cs="Times New Roman"/>
          <w:sz w:val="24"/>
          <w:szCs w:val="24"/>
        </w:rPr>
        <w:t>Also, the parens patriae doctrine gives a state the responsibility to act in parental capacities for juveniles</w:t>
      </w:r>
      <w:r w:rsidR="005B490E">
        <w:rPr>
          <w:rFonts w:ascii="Times New Roman" w:hAnsi="Times New Roman" w:cs="Times New Roman"/>
          <w:sz w:val="24"/>
          <w:szCs w:val="24"/>
        </w:rPr>
        <w:t xml:space="preserve"> (HG.org, n. d)</w:t>
      </w:r>
      <w:r w:rsidR="00B9744F">
        <w:rPr>
          <w:rFonts w:ascii="Times New Roman" w:hAnsi="Times New Roman" w:cs="Times New Roman"/>
          <w:sz w:val="24"/>
          <w:szCs w:val="24"/>
        </w:rPr>
        <w:t xml:space="preserve">. Lastly, most states have juvenile codes that determine the kind of legal action to be taken against juvenile offenders. </w:t>
      </w:r>
    </w:p>
    <w:p w:rsidR="00B9744F" w:rsidRDefault="00FB4309" w:rsidP="00C162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is not fair for juveniles to be treated as adults at younger ages in some s</w:t>
      </w:r>
      <w:r>
        <w:rPr>
          <w:rFonts w:ascii="Times New Roman" w:hAnsi="Times New Roman" w:cs="Times New Roman"/>
          <w:sz w:val="24"/>
          <w:szCs w:val="24"/>
        </w:rPr>
        <w:t>tates since they have not yet developed emotional, mental, and intellectual maturity. Persons under the age of 18 are likely to make uninformed decisions due to their inexperience. Adult courts are not likely to meet the needs of juvenile offenders.</w:t>
      </w:r>
      <w:r w:rsidR="007F0C88">
        <w:rPr>
          <w:rFonts w:ascii="Times New Roman" w:hAnsi="Times New Roman" w:cs="Times New Roman"/>
          <w:sz w:val="24"/>
          <w:szCs w:val="24"/>
        </w:rPr>
        <w:t xml:space="preserve"> According to Kelly (2016), “…mandatory minimums, harsher sentences, zero-tolerance in schools, and transfer of children to adult courts have had negative consequences for young people.”</w:t>
      </w:r>
      <w:r>
        <w:rPr>
          <w:rFonts w:ascii="Times New Roman" w:hAnsi="Times New Roman" w:cs="Times New Roman"/>
          <w:sz w:val="24"/>
          <w:szCs w:val="24"/>
        </w:rPr>
        <w:t xml:space="preserve"> For example, incarcerating juveniles in adult prisons can have considerable </w:t>
      </w:r>
      <w:r>
        <w:rPr>
          <w:rFonts w:ascii="Times New Roman" w:hAnsi="Times New Roman" w:cs="Times New Roman"/>
          <w:sz w:val="24"/>
          <w:szCs w:val="24"/>
        </w:rPr>
        <w:t xml:space="preserve">mental impacts on them since they are psychologically-unprepared. </w:t>
      </w:r>
      <w:r w:rsidR="006C07E1">
        <w:rPr>
          <w:rFonts w:ascii="Times New Roman" w:hAnsi="Times New Roman" w:cs="Times New Roman"/>
          <w:sz w:val="24"/>
          <w:szCs w:val="24"/>
        </w:rPr>
        <w:t xml:space="preserve">In this </w:t>
      </w:r>
      <w:r w:rsidR="006C07E1">
        <w:rPr>
          <w:rFonts w:ascii="Times New Roman" w:hAnsi="Times New Roman" w:cs="Times New Roman"/>
          <w:sz w:val="24"/>
          <w:szCs w:val="24"/>
        </w:rPr>
        <w:lastRenderedPageBreak/>
        <w:t>regard, emphasis should be made on rehabilitation that entails education and treatment to induce positive behavioral traits in them.</w:t>
      </w:r>
    </w:p>
    <w:p w:rsidR="006C07E1" w:rsidRDefault="00FB4309" w:rsidP="00C16234">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Moreover, youths who commit crimes when they cro</w:t>
      </w:r>
      <w:r>
        <w:rPr>
          <w:rFonts w:ascii="Times New Roman" w:hAnsi="Times New Roman" w:cs="Times New Roman"/>
          <w:sz w:val="24"/>
          <w:szCs w:val="24"/>
        </w:rPr>
        <w:t xml:space="preserve">ss state lines are likely to be subjected to the full of the law of the state in which the crime was committed as well as the one of origin. Law enforcement agencies often collaborate with each other to ensure law and order in their jurisdictions. In this </w:t>
      </w:r>
      <w:r>
        <w:rPr>
          <w:rFonts w:ascii="Times New Roman" w:hAnsi="Times New Roman" w:cs="Times New Roman"/>
          <w:sz w:val="24"/>
          <w:szCs w:val="24"/>
        </w:rPr>
        <w:t xml:space="preserve">regard, the youth will be detained in the state where he/ she has committed the crime and charges filed against him/ her. Notably, children below the minimum age who have committed an offense </w:t>
      </w:r>
      <w:r w:rsidR="007F0C88">
        <w:rPr>
          <w:rFonts w:ascii="Times New Roman" w:hAnsi="Times New Roman" w:cs="Times New Roman"/>
          <w:sz w:val="24"/>
          <w:szCs w:val="24"/>
        </w:rPr>
        <w:t>can be let scot-free based on the presumption that they are very young and cannot be labeled as guilty. In this regard, they cannot be subjected to criminal proceedings. Prosecution of these offenders is only possible if the court can prove that a child knew what he/ she did and could determine that it was wrong or right based on the standards of reasonable adulthood.</w:t>
      </w:r>
    </w:p>
    <w:p w:rsidR="005B490E" w:rsidRDefault="005B490E" w:rsidP="00AC740E">
      <w:pPr>
        <w:spacing w:line="480" w:lineRule="auto"/>
        <w:rPr>
          <w:rFonts w:ascii="Times New Roman" w:hAnsi="Times New Roman" w:cs="Times New Roman"/>
          <w:sz w:val="24"/>
          <w:szCs w:val="24"/>
        </w:rPr>
      </w:pPr>
    </w:p>
    <w:p w:rsidR="005B490E" w:rsidRDefault="005B490E" w:rsidP="00AC740E">
      <w:pPr>
        <w:spacing w:line="480" w:lineRule="auto"/>
        <w:rPr>
          <w:rFonts w:ascii="Times New Roman" w:hAnsi="Times New Roman" w:cs="Times New Roman"/>
          <w:sz w:val="24"/>
          <w:szCs w:val="24"/>
        </w:rPr>
      </w:pPr>
    </w:p>
    <w:p w:rsidR="005B490E" w:rsidRDefault="005B490E" w:rsidP="00AC740E">
      <w:pPr>
        <w:spacing w:line="480" w:lineRule="auto"/>
        <w:rPr>
          <w:rFonts w:ascii="Times New Roman" w:hAnsi="Times New Roman" w:cs="Times New Roman"/>
          <w:sz w:val="24"/>
          <w:szCs w:val="24"/>
        </w:rPr>
      </w:pPr>
    </w:p>
    <w:p w:rsidR="005B490E" w:rsidRDefault="005B490E" w:rsidP="00AC740E">
      <w:pPr>
        <w:spacing w:line="480" w:lineRule="auto"/>
        <w:rPr>
          <w:rFonts w:ascii="Times New Roman" w:hAnsi="Times New Roman" w:cs="Times New Roman"/>
          <w:sz w:val="24"/>
          <w:szCs w:val="24"/>
        </w:rPr>
      </w:pPr>
    </w:p>
    <w:p w:rsidR="005B490E" w:rsidRDefault="005B490E" w:rsidP="00AC740E">
      <w:pPr>
        <w:spacing w:line="480" w:lineRule="auto"/>
        <w:rPr>
          <w:rFonts w:ascii="Times New Roman" w:hAnsi="Times New Roman" w:cs="Times New Roman"/>
          <w:sz w:val="24"/>
          <w:szCs w:val="24"/>
        </w:rPr>
      </w:pPr>
    </w:p>
    <w:p w:rsidR="005B490E" w:rsidRDefault="005B490E" w:rsidP="00AC740E">
      <w:pPr>
        <w:spacing w:line="480" w:lineRule="auto"/>
        <w:rPr>
          <w:rFonts w:ascii="Times New Roman" w:hAnsi="Times New Roman" w:cs="Times New Roman"/>
          <w:sz w:val="24"/>
          <w:szCs w:val="24"/>
        </w:rPr>
      </w:pPr>
    </w:p>
    <w:p w:rsidR="005B490E" w:rsidRDefault="005B490E" w:rsidP="00AC740E">
      <w:pPr>
        <w:spacing w:line="480" w:lineRule="auto"/>
        <w:rPr>
          <w:rFonts w:ascii="Times New Roman" w:hAnsi="Times New Roman" w:cs="Times New Roman"/>
          <w:sz w:val="24"/>
          <w:szCs w:val="24"/>
        </w:rPr>
      </w:pPr>
    </w:p>
    <w:p w:rsidR="005B490E" w:rsidRDefault="005B490E" w:rsidP="00AC740E">
      <w:pPr>
        <w:spacing w:line="480" w:lineRule="auto"/>
        <w:rPr>
          <w:rFonts w:ascii="Times New Roman" w:hAnsi="Times New Roman" w:cs="Times New Roman"/>
          <w:sz w:val="24"/>
          <w:szCs w:val="24"/>
        </w:rPr>
      </w:pPr>
    </w:p>
    <w:p w:rsidR="005B490E" w:rsidRDefault="00FB4309" w:rsidP="005B49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B490E" w:rsidRDefault="00FB4309" w:rsidP="005B490E">
      <w:pPr>
        <w:spacing w:line="480" w:lineRule="auto"/>
        <w:rPr>
          <w:rFonts w:ascii="Times New Roman" w:hAnsi="Times New Roman" w:cs="Times New Roman"/>
          <w:sz w:val="24"/>
          <w:szCs w:val="24"/>
        </w:rPr>
      </w:pPr>
      <w:r>
        <w:rPr>
          <w:rFonts w:ascii="Times New Roman" w:hAnsi="Times New Roman" w:cs="Times New Roman"/>
          <w:sz w:val="24"/>
          <w:szCs w:val="24"/>
        </w:rPr>
        <w:t>HG. Org. (n. d). Juvenile criminal law. Retrieved from</w:t>
      </w:r>
    </w:p>
    <w:p w:rsidR="005B490E" w:rsidRDefault="00FB4309" w:rsidP="005B490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B490E">
          <w:rPr>
            <w:rStyle w:val="Hyperlink"/>
            <w:rFonts w:ascii="Times New Roman" w:hAnsi="Times New Roman" w:cs="Times New Roman"/>
            <w:sz w:val="24"/>
            <w:szCs w:val="24"/>
          </w:rPr>
          <w:t>https://www.hg.org/juvenile-crime-law.html</w:t>
        </w:r>
      </w:hyperlink>
    </w:p>
    <w:p w:rsidR="005B490E" w:rsidRDefault="00FB4309" w:rsidP="005B490E">
      <w:pPr>
        <w:spacing w:line="480" w:lineRule="auto"/>
        <w:rPr>
          <w:rFonts w:ascii="Times New Roman" w:hAnsi="Times New Roman" w:cs="Times New Roman"/>
          <w:sz w:val="24"/>
          <w:szCs w:val="24"/>
        </w:rPr>
      </w:pPr>
      <w:r>
        <w:rPr>
          <w:rFonts w:ascii="Times New Roman" w:hAnsi="Times New Roman" w:cs="Times New Roman"/>
          <w:sz w:val="24"/>
          <w:szCs w:val="24"/>
        </w:rPr>
        <w:t xml:space="preserve">Kelly, R. W. (2016). </w:t>
      </w:r>
      <w:r w:rsidRPr="005B490E">
        <w:rPr>
          <w:rFonts w:ascii="Times New Roman" w:hAnsi="Times New Roman" w:cs="Times New Roman"/>
          <w:i/>
          <w:sz w:val="24"/>
          <w:szCs w:val="24"/>
        </w:rPr>
        <w:t xml:space="preserve">The future of crime and punishment: Smart policies for reducing crime and </w:t>
      </w:r>
      <w:r w:rsidRPr="005B490E">
        <w:rPr>
          <w:rFonts w:ascii="Times New Roman" w:hAnsi="Times New Roman" w:cs="Times New Roman"/>
          <w:i/>
          <w:sz w:val="24"/>
          <w:szCs w:val="24"/>
        </w:rPr>
        <w:tab/>
        <w:t>saving money</w:t>
      </w:r>
      <w:r>
        <w:rPr>
          <w:rFonts w:ascii="Times New Roman" w:hAnsi="Times New Roman" w:cs="Times New Roman"/>
          <w:sz w:val="24"/>
          <w:szCs w:val="24"/>
        </w:rPr>
        <w:t>. Lanham, MD: Rowman and Littlefied, 1-258.</w:t>
      </w:r>
    </w:p>
    <w:p w:rsidR="005B490E" w:rsidRDefault="00FB4309" w:rsidP="005B490E">
      <w:pPr>
        <w:spacing w:line="480" w:lineRule="auto"/>
        <w:rPr>
          <w:rFonts w:ascii="Times New Roman" w:hAnsi="Times New Roman" w:cs="Times New Roman"/>
          <w:sz w:val="24"/>
          <w:szCs w:val="24"/>
        </w:rPr>
      </w:pPr>
      <w:r>
        <w:rPr>
          <w:rFonts w:ascii="Times New Roman" w:hAnsi="Times New Roman" w:cs="Times New Roman"/>
          <w:sz w:val="24"/>
          <w:szCs w:val="24"/>
        </w:rPr>
        <w:t>Sterio, M. (2016). The rights of juvenile suspects under international law. Rights. Retrieved from</w:t>
      </w:r>
    </w:p>
    <w:p w:rsidR="005B490E" w:rsidRDefault="00FB4309" w:rsidP="005B490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5B490E">
          <w:rPr>
            <w:rStyle w:val="Hyperlink"/>
            <w:rFonts w:ascii="Times New Roman" w:hAnsi="Times New Roman" w:cs="Times New Roman"/>
            <w:sz w:val="24"/>
            <w:szCs w:val="24"/>
          </w:rPr>
          <w:t>https://rightsblog.net/2016/04/18/the-rights-of-juvenile-suspects-under-international-law/</w:t>
        </w:r>
      </w:hyperlink>
    </w:p>
    <w:p w:rsidR="00AC740E" w:rsidRPr="00AC740E" w:rsidRDefault="00AC740E" w:rsidP="00AC740E">
      <w:pPr>
        <w:rPr>
          <w:rFonts w:ascii="Times New Roman" w:hAnsi="Times New Roman" w:cs="Times New Roman"/>
          <w:sz w:val="24"/>
          <w:szCs w:val="24"/>
        </w:rPr>
      </w:pPr>
    </w:p>
    <w:sectPr w:rsidR="00AC740E" w:rsidRPr="00AC740E" w:rsidSect="00AC740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309" w:rsidRDefault="00FB4309">
      <w:pPr>
        <w:spacing w:after="0" w:line="240" w:lineRule="auto"/>
      </w:pPr>
      <w:r>
        <w:separator/>
      </w:r>
    </w:p>
  </w:endnote>
  <w:endnote w:type="continuationSeparator" w:id="0">
    <w:p w:rsidR="00FB4309" w:rsidRDefault="00FB4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309" w:rsidRDefault="00FB4309">
      <w:pPr>
        <w:spacing w:after="0" w:line="240" w:lineRule="auto"/>
      </w:pPr>
      <w:r>
        <w:separator/>
      </w:r>
    </w:p>
  </w:footnote>
  <w:footnote w:type="continuationSeparator" w:id="0">
    <w:p w:rsidR="00FB4309" w:rsidRDefault="00FB43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40E" w:rsidRPr="00AC740E" w:rsidRDefault="00FB4309" w:rsidP="00AC740E">
    <w:pPr>
      <w:pStyle w:val="Header"/>
      <w:spacing w:line="480" w:lineRule="auto"/>
      <w:rPr>
        <w:rFonts w:ascii="Times New Roman" w:hAnsi="Times New Roman" w:cs="Times New Roman"/>
        <w:sz w:val="24"/>
        <w:szCs w:val="24"/>
      </w:rPr>
    </w:pPr>
    <w:r w:rsidRPr="00AC740E">
      <w:rPr>
        <w:rFonts w:ascii="Times New Roman" w:hAnsi="Times New Roman" w:cs="Times New Roman"/>
        <w:sz w:val="24"/>
        <w:szCs w:val="24"/>
      </w:rPr>
      <w:t>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740E">
      <w:rPr>
        <w:rFonts w:ascii="Times New Roman" w:hAnsi="Times New Roman" w:cs="Times New Roman"/>
        <w:sz w:val="24"/>
        <w:szCs w:val="24"/>
      </w:rPr>
      <w:t xml:space="preserve"> </w:t>
    </w:r>
    <w:sdt>
      <w:sdtPr>
        <w:rPr>
          <w:rFonts w:ascii="Times New Roman" w:hAnsi="Times New Roman" w:cs="Times New Roman"/>
          <w:sz w:val="24"/>
          <w:szCs w:val="24"/>
        </w:rPr>
        <w:id w:val="-1348628672"/>
        <w:docPartObj>
          <w:docPartGallery w:val="Page Numbers (Top of Page)"/>
          <w:docPartUnique/>
        </w:docPartObj>
      </w:sdtPr>
      <w:sdtEndPr>
        <w:rPr>
          <w:noProof/>
        </w:rPr>
      </w:sdtEndPr>
      <w:sdtContent>
        <w:r w:rsidRPr="00AC740E">
          <w:rPr>
            <w:rFonts w:ascii="Times New Roman" w:hAnsi="Times New Roman" w:cs="Times New Roman"/>
            <w:sz w:val="24"/>
            <w:szCs w:val="24"/>
          </w:rPr>
          <w:fldChar w:fldCharType="begin"/>
        </w:r>
        <w:r w:rsidRPr="00AC740E">
          <w:rPr>
            <w:rFonts w:ascii="Times New Roman" w:hAnsi="Times New Roman" w:cs="Times New Roman"/>
            <w:sz w:val="24"/>
            <w:szCs w:val="24"/>
          </w:rPr>
          <w:instrText xml:space="preserve"> PAGE   \* MERGEFORMAT </w:instrText>
        </w:r>
        <w:r w:rsidRPr="00AC740E">
          <w:rPr>
            <w:rFonts w:ascii="Times New Roman" w:hAnsi="Times New Roman" w:cs="Times New Roman"/>
            <w:sz w:val="24"/>
            <w:szCs w:val="24"/>
          </w:rPr>
          <w:fldChar w:fldCharType="separate"/>
        </w:r>
        <w:r w:rsidR="00C16234">
          <w:rPr>
            <w:rFonts w:ascii="Times New Roman" w:hAnsi="Times New Roman" w:cs="Times New Roman"/>
            <w:noProof/>
            <w:sz w:val="24"/>
            <w:szCs w:val="24"/>
          </w:rPr>
          <w:t>4</w:t>
        </w:r>
        <w:r w:rsidRPr="00AC740E">
          <w:rPr>
            <w:rFonts w:ascii="Times New Roman" w:hAnsi="Times New Roman" w:cs="Times New Roman"/>
            <w:noProof/>
            <w:sz w:val="24"/>
            <w:szCs w:val="24"/>
          </w:rPr>
          <w:fldChar w:fldCharType="end"/>
        </w:r>
      </w:sdtContent>
    </w:sdt>
  </w:p>
  <w:p w:rsidR="00AC740E" w:rsidRDefault="00AC74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40E" w:rsidRPr="00AC740E" w:rsidRDefault="00FB4309" w:rsidP="00AC740E">
    <w:pPr>
      <w:pStyle w:val="Header"/>
      <w:spacing w:line="480" w:lineRule="auto"/>
      <w:rPr>
        <w:rFonts w:ascii="Times New Roman" w:hAnsi="Times New Roman" w:cs="Times New Roman"/>
        <w:sz w:val="24"/>
        <w:szCs w:val="24"/>
      </w:rPr>
    </w:pPr>
    <w:r w:rsidRPr="00AC740E">
      <w:rPr>
        <w:rFonts w:ascii="Times New Roman" w:hAnsi="Times New Roman" w:cs="Times New Roman"/>
        <w:sz w:val="24"/>
        <w:szCs w:val="24"/>
      </w:rPr>
      <w:t xml:space="preserve">Running head: 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7799272"/>
        <w:docPartObj>
          <w:docPartGallery w:val="Page Numbers (Top of Page)"/>
          <w:docPartUnique/>
        </w:docPartObj>
      </w:sdtPr>
      <w:sdtEndPr>
        <w:rPr>
          <w:noProof/>
        </w:rPr>
      </w:sdtEndPr>
      <w:sdtContent>
        <w:r w:rsidRPr="00AC740E">
          <w:rPr>
            <w:rFonts w:ascii="Times New Roman" w:hAnsi="Times New Roman" w:cs="Times New Roman"/>
            <w:sz w:val="24"/>
            <w:szCs w:val="24"/>
          </w:rPr>
          <w:fldChar w:fldCharType="begin"/>
        </w:r>
        <w:r w:rsidRPr="00AC740E">
          <w:rPr>
            <w:rFonts w:ascii="Times New Roman" w:hAnsi="Times New Roman" w:cs="Times New Roman"/>
            <w:sz w:val="24"/>
            <w:szCs w:val="24"/>
          </w:rPr>
          <w:instrText xml:space="preserve"> PAGE   \* MERGEFORMAT </w:instrText>
        </w:r>
        <w:r w:rsidRPr="00AC740E">
          <w:rPr>
            <w:rFonts w:ascii="Times New Roman" w:hAnsi="Times New Roman" w:cs="Times New Roman"/>
            <w:sz w:val="24"/>
            <w:szCs w:val="24"/>
          </w:rPr>
          <w:fldChar w:fldCharType="separate"/>
        </w:r>
        <w:r w:rsidR="00C16234">
          <w:rPr>
            <w:rFonts w:ascii="Times New Roman" w:hAnsi="Times New Roman" w:cs="Times New Roman"/>
            <w:noProof/>
            <w:sz w:val="24"/>
            <w:szCs w:val="24"/>
          </w:rPr>
          <w:t>1</w:t>
        </w:r>
        <w:r w:rsidRPr="00AC740E">
          <w:rPr>
            <w:rFonts w:ascii="Times New Roman" w:hAnsi="Times New Roman" w:cs="Times New Roman"/>
            <w:noProof/>
            <w:sz w:val="24"/>
            <w:szCs w:val="24"/>
          </w:rPr>
          <w:fldChar w:fldCharType="end"/>
        </w:r>
      </w:sdtContent>
    </w:sdt>
  </w:p>
  <w:p w:rsidR="00AC740E" w:rsidRDefault="00AC74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40E"/>
    <w:rsid w:val="0012438F"/>
    <w:rsid w:val="001D2666"/>
    <w:rsid w:val="005B490E"/>
    <w:rsid w:val="006C07E1"/>
    <w:rsid w:val="006F73B9"/>
    <w:rsid w:val="007F0C88"/>
    <w:rsid w:val="0080412D"/>
    <w:rsid w:val="00AC740E"/>
    <w:rsid w:val="00B9744F"/>
    <w:rsid w:val="00BD4F4E"/>
    <w:rsid w:val="00C16234"/>
    <w:rsid w:val="00C67519"/>
    <w:rsid w:val="00ED1FED"/>
    <w:rsid w:val="00FB4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40E"/>
  </w:style>
  <w:style w:type="paragraph" w:styleId="Footer">
    <w:name w:val="footer"/>
    <w:basedOn w:val="Normal"/>
    <w:link w:val="FooterChar"/>
    <w:uiPriority w:val="99"/>
    <w:unhideWhenUsed/>
    <w:rsid w:val="00AC7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40E"/>
  </w:style>
  <w:style w:type="character" w:styleId="Hyperlink">
    <w:name w:val="Hyperlink"/>
    <w:basedOn w:val="DefaultParagraphFont"/>
    <w:uiPriority w:val="99"/>
    <w:unhideWhenUsed/>
    <w:rsid w:val="005B49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40E"/>
  </w:style>
  <w:style w:type="paragraph" w:styleId="Footer">
    <w:name w:val="footer"/>
    <w:basedOn w:val="Normal"/>
    <w:link w:val="FooterChar"/>
    <w:uiPriority w:val="99"/>
    <w:unhideWhenUsed/>
    <w:rsid w:val="00AC7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40E"/>
  </w:style>
  <w:style w:type="character" w:styleId="Hyperlink">
    <w:name w:val="Hyperlink"/>
    <w:basedOn w:val="DefaultParagraphFont"/>
    <w:uiPriority w:val="99"/>
    <w:unhideWhenUsed/>
    <w:rsid w:val="005B49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ghtsblog.net/2016/04/18/the-rights-of-juvenile-suspects-under-international-law/" TargetMode="External"/><Relationship Id="rId3" Type="http://schemas.openxmlformats.org/officeDocument/2006/relationships/settings" Target="settings.xml"/><Relationship Id="rId7" Type="http://schemas.openxmlformats.org/officeDocument/2006/relationships/hyperlink" Target="https://www.hg.org/juvenile-crime-law.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2020-01-24T13:54:00Z</dcterms:created>
  <dcterms:modified xsi:type="dcterms:W3CDTF">2020-01-24T19:12:00Z</dcterms:modified>
</cp:coreProperties>
</file>